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F445" w14:textId="77777777" w:rsidR="000B1968" w:rsidRDefault="002A5A7A">
      <w:pPr>
        <w:rPr>
          <w:rFonts w:ascii="Source Sans Pro" w:hAnsi="Source Sans Pro"/>
        </w:rPr>
      </w:pPr>
      <w:r>
        <w:rPr>
          <w:rFonts w:ascii="Source Sans Pro" w:hAnsi="Source Sans Pro"/>
        </w:rPr>
        <w:t>Sehr geehrte Rundfunkkommission,</w:t>
      </w:r>
    </w:p>
    <w:p w14:paraId="0DD6E638" w14:textId="1BBAB234" w:rsidR="000B1968" w:rsidRDefault="002A5A7A">
      <w:pPr>
        <w:rPr>
          <w:rFonts w:ascii="Source Sans Pro" w:hAnsi="Source Sans Pro"/>
        </w:rPr>
      </w:pPr>
      <w:r>
        <w:rPr>
          <w:rFonts w:ascii="Source Sans Pro" w:hAnsi="Source Sans Pro"/>
        </w:rPr>
        <w:t xml:space="preserve">Mit diesem Schreiben wenden sich die für Medien- und Öffentlichkeitsarbeit Verantwortlichen der Helmholtz-Gemeinschaft und </w:t>
      </w:r>
      <w:r>
        <w:rPr>
          <w:rFonts w:ascii="Source Sans Pro" w:hAnsi="Source Sans Pro"/>
        </w:rPr>
        <w:t xml:space="preserve">ihrer Forschungszentren an Sie. Unsere 18 </w:t>
      </w:r>
      <w:r>
        <w:rPr>
          <w:rFonts w:ascii="Source Sans Pro" w:hAnsi="Source Sans Pro"/>
        </w:rPr>
        <w:t xml:space="preserve">Zentren mit zirka 45.000 Beschäftigten </w:t>
      </w:r>
      <w:r>
        <w:rPr>
          <w:rFonts w:ascii="Source Sans Pro" w:hAnsi="Source Sans Pro"/>
        </w:rPr>
        <w:t xml:space="preserve">sind durch Bund und Länder finanzierte </w:t>
      </w:r>
      <w:r>
        <w:rPr>
          <w:rFonts w:ascii="Source Sans Pro" w:hAnsi="Source Sans Pro"/>
        </w:rPr>
        <w:t>außeruniversitäre Forschungseinrichtungen. Thematisch forschen wir in den sechs Bereichen: Gesundheit, Erde und Umwelt, Energie, Materie, Information sowie Luftfahrt, Raumfahrt und Verkehr. Wir befassen uns mit den großen und drängenden Fragen der Gesellschaft und entwickeln hierfür nachhaltige Lösungsansätze für morgen und übermorgen.</w:t>
      </w:r>
    </w:p>
    <w:p w14:paraId="084A9C15" w14:textId="77777777" w:rsidR="000B1968" w:rsidRDefault="002A5A7A">
      <w:pPr>
        <w:rPr>
          <w:rFonts w:ascii="Source Sans Pro" w:hAnsi="Source Sans Pro"/>
        </w:rPr>
      </w:pPr>
      <w:r>
        <w:rPr>
          <w:rFonts w:ascii="Source Sans Pro" w:hAnsi="Source Sans Pro"/>
        </w:rPr>
        <w:t xml:space="preserve">Mit großer Sorge und großem Unverständnis haben wir von Ihren Plänen gehört, die Sender 3Sat und Arte zusammenzuschließen. Das Programm von zwei Sendern soll auf einen Sender komprimiert werden. Gewöhnlich heißt das: 50 Prozent des Programms entfallen. </w:t>
      </w:r>
    </w:p>
    <w:p w14:paraId="31528BC6" w14:textId="77777777" w:rsidR="000B1968" w:rsidRDefault="002A5A7A">
      <w:pPr>
        <w:rPr>
          <w:rFonts w:ascii="Source Sans Pro" w:hAnsi="Source Sans Pro"/>
        </w:rPr>
      </w:pPr>
      <w:r>
        <w:rPr>
          <w:rFonts w:ascii="Source Sans Pro" w:hAnsi="Source Sans Pro"/>
        </w:rPr>
        <w:t>In diesem Fall heißt das, es wird bei Sendern gekürzt, die ganz gezielt Aufgaben wahrnehmen, die nur der öffentlich-rechtliche Rundfunk bedient. Dazu gehört auch die Berichterstattung aus der Wissenschaft. Wenn die tägliche Wissenschaftsberichterstattung in NANO, die Wissenschaftsdoku Wissenhoch2, Scobel, u.v.m. auf der Strecke zu bleiben, erfüllt uns das mit großer Sorge. Die qualitativ hochwertige und seriöse Kommunikation von Wissenschaft ist ein Grundpfeiler unserer freiheitlich-demokratischen Gesellsch</w:t>
      </w:r>
      <w:r>
        <w:rPr>
          <w:rFonts w:ascii="Source Sans Pro" w:hAnsi="Source Sans Pro"/>
        </w:rPr>
        <w:t>aft und unseres Wohlstands.</w:t>
      </w:r>
    </w:p>
    <w:p w14:paraId="46C902F8" w14:textId="77777777" w:rsidR="000B1968" w:rsidRDefault="002A5A7A">
      <w:pPr>
        <w:rPr>
          <w:rFonts w:ascii="Source Sans Pro" w:hAnsi="Source Sans Pro"/>
        </w:rPr>
      </w:pPr>
      <w:r>
        <w:rPr>
          <w:rFonts w:ascii="Source Sans Pro" w:hAnsi="Source Sans Pro"/>
        </w:rPr>
        <w:t>Wie wichtig es ist, nicht nur wissenschaftliche Fakten, sondern auch den wissenschaftlichen Erkenntnisprozess dem Publikum näher zu bringen, haben wir während der Pandemie gesehen und erleben es im Zeitalter von Fake News und „gefühltem“ Wissen und Halbwissen täglich. Gerade in den Sozialen Medien hat die sachliche und kritisch einordnende Berichterstattung über Wissenschaft immer häufiger keine Chance gegen die Logik der skandalisierenden Desinformation. Gute Berichterstattung über Wissenschaft braucht des</w:t>
      </w:r>
      <w:r>
        <w:rPr>
          <w:rFonts w:ascii="Source Sans Pro" w:hAnsi="Source Sans Pro"/>
        </w:rPr>
        <w:t xml:space="preserve">halb ein verlässliches Zuhause in den öffentlich-rechtlichen Sendern.  </w:t>
      </w:r>
    </w:p>
    <w:p w14:paraId="2883CE58" w14:textId="77777777" w:rsidR="000B1968" w:rsidRDefault="002A5A7A">
      <w:pPr>
        <w:rPr>
          <w:rFonts w:ascii="Source Sans Pro" w:hAnsi="Source Sans Pro"/>
        </w:rPr>
      </w:pPr>
      <w:r>
        <w:rPr>
          <w:rFonts w:ascii="Source Sans Pro" w:hAnsi="Source Sans Pro"/>
        </w:rPr>
        <w:t>Wir schreiben Ihnen, weil Sie mit der Zusammenlegung der Sender einen gefährlichen Trend weiterbefördern: den Abbau von Expertise in den Medien. So wie Wirtschaft, Politik, Sport und Kultur benötigt auch die Wissenschaft eine valide mediale Begleitung. So wie andere Quellen produzieren auch wir (und andere Akteure) eine Vielzahl von Informationen. Wer aber ordnet diese ein, kuratiert und hinterfragt? Wenn kompetente Wissenschaftsredaktionen in den öffentlich-rechtlichen Medien abgebaut und auch freie Wissen</w:t>
      </w:r>
      <w:r>
        <w:rPr>
          <w:rFonts w:ascii="Source Sans Pro" w:hAnsi="Source Sans Pro"/>
        </w:rPr>
        <w:t xml:space="preserve">schaftsjournalisten nicht mehr nachgefragt werden, wird die Expertise in den Medien einen erheblichen Schaden nehmen. </w:t>
      </w:r>
    </w:p>
    <w:p w14:paraId="638FCF2C" w14:textId="77777777" w:rsidR="000B1968" w:rsidRDefault="002A5A7A">
      <w:pPr>
        <w:rPr>
          <w:rFonts w:ascii="Source Sans Pro" w:hAnsi="Source Sans Pro"/>
        </w:rPr>
      </w:pPr>
      <w:r>
        <w:rPr>
          <w:rFonts w:ascii="Source Sans Pro" w:hAnsi="Source Sans Pro"/>
        </w:rPr>
        <w:t xml:space="preserve">Aus unserer Sicht müsste das Gegenteil von Abbau passieren: In einer immer komplexer werdenden Welt muss mediale Wissenschafts-Expertise eher aufgebaut werden. Der öffentlich-rechtliche Rundfunk hat hier einen medienpolitischen Auftrag. Redaktionen </w:t>
      </w:r>
      <w:r>
        <w:rPr>
          <w:rFonts w:ascii="Source Sans Pro" w:hAnsi="Source Sans Pro"/>
        </w:rPr>
        <w:lastRenderedPageBreak/>
        <w:t>brauchen in ihren Reihen wissenschaftsjournalistische Kompetenz, um unwissenschaftliche Behauptungen in gesellschaftspolitischen Debatten seriös und aus eigener Urteilskraft hinterfragen oder einordnen zu können.</w:t>
      </w:r>
    </w:p>
    <w:p w14:paraId="1F0BB695" w14:textId="77777777" w:rsidR="000B1968" w:rsidRDefault="002A5A7A">
      <w:pPr>
        <w:rPr>
          <w:rFonts w:ascii="Source Sans Pro" w:hAnsi="Source Sans Pro"/>
        </w:rPr>
      </w:pPr>
      <w:r>
        <w:rPr>
          <w:rFonts w:ascii="Source Sans Pro" w:hAnsi="Source Sans Pro"/>
        </w:rPr>
        <w:t>Wir brauchen mehr Formate und mehr Journalist:innen die den komplexen Prozess des Erkenntnisgewinns verstehen und medienadäquat vermitteln können: unterhaltsam und spannend, einordnend und fragend. Unsere Medienlandschaft braucht Journalist:innen, die in der Lage sind, Wissenschaftler:innen und Personen, die sich als solche ausgeben, die richtigen Fragen zu stellen. Die in der Lage sind, neue Formate zu entwickeln und in den modernen neuen Medien agieren können. Die ein Netzwerk zu Wissenschaftler*innen hab</w:t>
      </w:r>
      <w:r>
        <w:rPr>
          <w:rFonts w:ascii="Source Sans Pro" w:hAnsi="Source Sans Pro"/>
        </w:rPr>
        <w:t>en und auch anderen Fachredaktionen zuarbeiten können. Dies zu gewährleisten, ist Ihre Aufgabe. Eine Reduktion von bestehenden wissenschaftsjournalistischen Sendungen und Formaten bewirkt das Gegenteil.</w:t>
      </w:r>
    </w:p>
    <w:p w14:paraId="1F6845AD" w14:textId="77777777" w:rsidR="000B1968" w:rsidRDefault="002A5A7A">
      <w:pPr>
        <w:rPr>
          <w:rFonts w:ascii="Source Sans Pro" w:hAnsi="Source Sans Pro"/>
        </w:rPr>
      </w:pPr>
      <w:r>
        <w:rPr>
          <w:rFonts w:ascii="Source Sans Pro" w:hAnsi="Source Sans Pro"/>
        </w:rPr>
        <w:t>Mit freundlichen Grüßen</w:t>
      </w:r>
    </w:p>
    <w:p w14:paraId="7E45C5A0" w14:textId="77777777" w:rsidR="000B1968" w:rsidRDefault="002A5A7A">
      <w:pPr>
        <w:rPr>
          <w:rFonts w:ascii="Source Sans Pro" w:hAnsi="Source Sans Pro"/>
        </w:rPr>
      </w:pPr>
      <w:r>
        <w:rPr>
          <w:rFonts w:ascii="Source Sans Pro" w:hAnsi="Source Sans Pro"/>
        </w:rPr>
        <w:t>Ina Helms (HZB), Vorsitzende des Arbeitskreises Presse der Helmholtz-Gemeinschaft</w:t>
      </w:r>
    </w:p>
    <w:p w14:paraId="55BB8BC7" w14:textId="77777777" w:rsidR="000B1968" w:rsidRDefault="000B1968">
      <w:pPr>
        <w:rPr>
          <w:rFonts w:ascii="Source Sans Pro" w:hAnsi="Source Sans Pro"/>
        </w:rPr>
      </w:pPr>
    </w:p>
    <w:p w14:paraId="16EE267D" w14:textId="77777777" w:rsidR="000B1968" w:rsidRDefault="002A5A7A">
      <w:pPr>
        <w:rPr>
          <w:rFonts w:ascii="Source Sans Pro" w:hAnsi="Source Sans Pro"/>
        </w:rPr>
      </w:pPr>
      <w:r>
        <w:rPr>
          <w:rFonts w:ascii="Source Sans Pro" w:hAnsi="Source Sans Pro"/>
        </w:rPr>
        <w:t>Im Namen von Presse- und Öffentlichkeitsarbeits-Verantwortlichen folgender Zentren:</w:t>
      </w:r>
    </w:p>
    <w:p w14:paraId="4947510B"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Alfred-Wegener-Institut, Helmholtz-Zentrum für Polar- und Meeresforschung (AWI), Roland Koch</w:t>
      </w:r>
    </w:p>
    <w:p w14:paraId="4FFCDF59"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Deutsches Elektronen-Synchrotron DESY, Maike Bierbaum </w:t>
      </w:r>
    </w:p>
    <w:p w14:paraId="331136B2"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Deutsches Krebsforschungszentrum, Sibylle Kohlstädt</w:t>
      </w:r>
    </w:p>
    <w:p w14:paraId="366C0A94"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Deutsches Zentrum für Neurodegenerative Erkrankungen (DZNE), Sabine Hoffmann </w:t>
      </w:r>
    </w:p>
    <w:p w14:paraId="69DEA748"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Forschungszentrum Jülich, Anne Rother </w:t>
      </w:r>
    </w:p>
    <w:p w14:paraId="1DC454FE"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GEOMAR Helmholtz-Zentrum für Ozeanforschung Kiel, Anna Niewerth. </w:t>
      </w:r>
    </w:p>
    <w:p w14:paraId="0FFD53F7"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Helmholtz-Zentrum Berlin, Ina Helms</w:t>
      </w:r>
    </w:p>
    <w:p w14:paraId="048AED58"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Helmholtz-Zentrum Dresden-Rossendorf (HZDR), Simon Schmitt</w:t>
      </w:r>
    </w:p>
    <w:p w14:paraId="60C00ECD"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Helmholtz-Zentrum für Infektionsforschung (HZI), Susanne Thiele</w:t>
      </w:r>
    </w:p>
    <w:p w14:paraId="4304B367"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Helmholtz-Zentrum für Umweltforschung (UFZ), Doris Wolst</w:t>
      </w:r>
    </w:p>
    <w:p w14:paraId="26634399"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Helmholtz-Zentrum Hereon, Torsten Fischer </w:t>
      </w:r>
    </w:p>
    <w:p w14:paraId="4924FB81"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Helmholtz-Zentrum Potsdam - Deutsches GeoForschungsZentrum GFZ, Josef Zens</w:t>
      </w:r>
    </w:p>
    <w:p w14:paraId="2AD1632C"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 xml:space="preserve">Max Delbrück Center, Jutta Kramm </w:t>
      </w:r>
    </w:p>
    <w:p w14:paraId="3DD66A9F" w14:textId="77777777" w:rsidR="000B1968" w:rsidRDefault="002A5A7A">
      <w:pPr>
        <w:numPr>
          <w:ilvl w:val="0"/>
          <w:numId w:val="2"/>
        </w:numPr>
        <w:tabs>
          <w:tab w:val="left" w:pos="720"/>
        </w:tabs>
        <w:spacing w:after="46"/>
        <w:rPr>
          <w:rFonts w:ascii="Source Sans Pro" w:hAnsi="Source Sans Pro"/>
        </w:rPr>
      </w:pPr>
      <w:r>
        <w:rPr>
          <w:rFonts w:ascii="Source Sans Pro" w:hAnsi="Source Sans Pro"/>
        </w:rPr>
        <w:t>Helmholtz-Gemeinschaft (Geschäftsstelle), Sebastian Grote</w:t>
      </w:r>
    </w:p>
    <w:p w14:paraId="65C53538" w14:textId="77777777" w:rsidR="000B1968" w:rsidRDefault="000B1968">
      <w:pPr>
        <w:spacing w:after="46"/>
        <w:ind w:left="720"/>
        <w:rPr>
          <w:rFonts w:ascii="Source Sans Pro" w:hAnsi="Source Sans Pro"/>
        </w:rPr>
      </w:pPr>
    </w:p>
    <w:p w14:paraId="59978EEB" w14:textId="77777777" w:rsidR="000B1968" w:rsidRDefault="000B1968">
      <w:pPr>
        <w:rPr>
          <w:rFonts w:ascii="Source Sans Pro" w:hAnsi="Source Sans Pro"/>
        </w:rPr>
      </w:pPr>
    </w:p>
    <w:sectPr w:rsidR="000B1968">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ource Sans Pro">
    <w:panose1 w:val="020B0503030403020204"/>
    <w:charset w:val="00"/>
    <w:family w:val="swiss"/>
    <w:pitch w:val="variable"/>
    <w:sig w:usb0="600002F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BD6"/>
    <w:multiLevelType w:val="multilevel"/>
    <w:tmpl w:val="85082B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8774AF3"/>
    <w:multiLevelType w:val="multilevel"/>
    <w:tmpl w:val="30603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3006951"/>
    <w:multiLevelType w:val="multilevel"/>
    <w:tmpl w:val="3416B3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2724558">
    <w:abstractNumId w:val="1"/>
  </w:num>
  <w:num w:numId="2" w16cid:durableId="972518122">
    <w:abstractNumId w:val="0"/>
  </w:num>
  <w:num w:numId="3" w16cid:durableId="47738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8"/>
    <w:rsid w:val="000B1968"/>
    <w:rsid w:val="002A5A7A"/>
    <w:rsid w:val="00F939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8D1"/>
  <w15:docId w15:val="{E7E002EB-16AA-4B00-B820-466D4E5D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6" w:lineRule="auto"/>
    </w:pPr>
  </w:style>
  <w:style w:type="paragraph" w:styleId="berschrift1">
    <w:name w:val="heading 1"/>
    <w:basedOn w:val="Standard"/>
    <w:next w:val="Standard"/>
    <w:link w:val="berschrift1Zchn"/>
    <w:uiPriority w:val="9"/>
    <w:qFormat/>
    <w:rsid w:val="00DE5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5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5F3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5F3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5F3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5F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5F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5F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5F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DE5F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DE5F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DE5F3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DE5F3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DE5F3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DE5F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DE5F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DE5F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DE5F32"/>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DE5F32"/>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DE5F32"/>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DE5F32"/>
    <w:rPr>
      <w:i/>
      <w:iCs/>
      <w:color w:val="404040" w:themeColor="text1" w:themeTint="BF"/>
    </w:rPr>
  </w:style>
  <w:style w:type="character" w:styleId="IntensiveHervorhebung">
    <w:name w:val="Intense Emphasis"/>
    <w:basedOn w:val="Absatz-Standardschriftart"/>
    <w:uiPriority w:val="21"/>
    <w:qFormat/>
    <w:rsid w:val="00DE5F32"/>
    <w:rPr>
      <w:i/>
      <w:iCs/>
      <w:color w:val="0F4761" w:themeColor="accent1" w:themeShade="BF"/>
    </w:rPr>
  </w:style>
  <w:style w:type="character" w:customStyle="1" w:styleId="IntensivesZitatZchn">
    <w:name w:val="Intensives Zitat Zchn"/>
    <w:basedOn w:val="Absatz-Standardschriftart"/>
    <w:link w:val="IntensivesZitat"/>
    <w:uiPriority w:val="30"/>
    <w:qFormat/>
    <w:rsid w:val="00DE5F32"/>
    <w:rPr>
      <w:i/>
      <w:iCs/>
      <w:color w:val="0F4761" w:themeColor="accent1" w:themeShade="BF"/>
    </w:rPr>
  </w:style>
  <w:style w:type="character" w:styleId="IntensiverVerweis">
    <w:name w:val="Intense Reference"/>
    <w:basedOn w:val="Absatz-Standardschriftart"/>
    <w:uiPriority w:val="32"/>
    <w:qFormat/>
    <w:rsid w:val="00DE5F32"/>
    <w:rPr>
      <w:b/>
      <w:bCs/>
      <w:smallCaps/>
      <w:color w:val="0F4761" w:themeColor="accent1" w:themeShade="BF"/>
      <w:spacing w:val="5"/>
    </w:rPr>
  </w:style>
  <w:style w:type="character" w:styleId="Zeilennummer">
    <w:name w:val="line number"/>
    <w:qFormat/>
  </w:style>
  <w:style w:type="character" w:customStyle="1" w:styleId="KommentartextZchn">
    <w:name w:val="Kommentartext Zchn"/>
    <w:basedOn w:val="Absatz-Standardschriftart"/>
    <w:link w:val="Kommentartext"/>
    <w:uiPriority w:val="99"/>
    <w:semiHidden/>
    <w:qFormat/>
    <w:rPr>
      <w:sz w:val="20"/>
      <w:szCs w:val="20"/>
    </w:rPr>
  </w:style>
  <w:style w:type="character" w:styleId="Kommentarzeichen">
    <w:name w:val="annotation reference"/>
    <w:basedOn w:val="Absatz-Standardschriftart"/>
    <w:uiPriority w:val="99"/>
    <w:semiHidden/>
    <w:unhideWhenUsed/>
    <w:qFormat/>
    <w:rPr>
      <w:sz w:val="16"/>
      <w:szCs w:val="16"/>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styleId="Titel">
    <w:name w:val="Title"/>
    <w:basedOn w:val="Standard"/>
    <w:next w:val="Standard"/>
    <w:link w:val="TitelZchn"/>
    <w:uiPriority w:val="10"/>
    <w:qFormat/>
    <w:rsid w:val="00DE5F32"/>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DE5F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5F32"/>
    <w:pPr>
      <w:spacing w:before="160"/>
      <w:jc w:val="center"/>
    </w:pPr>
    <w:rPr>
      <w:i/>
      <w:iCs/>
      <w:color w:val="404040" w:themeColor="text1" w:themeTint="BF"/>
    </w:rPr>
  </w:style>
  <w:style w:type="paragraph" w:styleId="Listenabsatz">
    <w:name w:val="List Paragraph"/>
    <w:basedOn w:val="Standard"/>
    <w:uiPriority w:val="34"/>
    <w:qFormat/>
    <w:rsid w:val="00DE5F32"/>
    <w:pPr>
      <w:ind w:left="720"/>
      <w:contextualSpacing/>
    </w:pPr>
  </w:style>
  <w:style w:type="paragraph" w:styleId="IntensivesZitat">
    <w:name w:val="Intense Quote"/>
    <w:basedOn w:val="Standard"/>
    <w:next w:val="Standard"/>
    <w:link w:val="IntensivesZitatZchn"/>
    <w:uiPriority w:val="30"/>
    <w:qFormat/>
    <w:rsid w:val="00DE5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styleId="berarbeitung">
    <w:name w:val="Revision"/>
    <w:uiPriority w:val="99"/>
    <w:semiHidden/>
    <w:qFormat/>
    <w:rsid w:val="00601A4E"/>
    <w:pPr>
      <w:suppressAutoHyphens w:val="0"/>
    </w:pPr>
  </w:style>
  <w:style w:type="paragraph" w:customStyle="1" w:styleId="NormaleTabelle1">
    <w:name w:val="Normale Tabelle1"/>
    <w:qFormat/>
    <w:rPr>
      <w:rFonts w:eastAsia="Times New Roman"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4145</Characters>
  <Application>Microsoft Office Word</Application>
  <DocSecurity>0</DocSecurity>
  <Lines>34</Lines>
  <Paragraphs>9</Paragraphs>
  <ScaleCrop>false</ScaleCrop>
  <Company>HZB</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Helms, Ina</dc:creator>
  <dc:description/>
  <cp:lastModifiedBy>Helms, Ina</cp:lastModifiedBy>
  <cp:revision>3</cp:revision>
  <dcterms:created xsi:type="dcterms:W3CDTF">2024-10-11T14:06:00Z</dcterms:created>
  <dcterms:modified xsi:type="dcterms:W3CDTF">2024-10-11T14:24:00Z</dcterms:modified>
  <dc:language>de-DE</dc:language>
</cp:coreProperties>
</file>